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rPr/>
      </w:pPr>
      <w:bookmarkStart w:colFirst="0" w:colLast="0" w:name="_kx6upuy7xa3m" w:id="0"/>
      <w:bookmarkEnd w:id="0"/>
      <w:r w:rsidDel="00000000" w:rsidR="00000000" w:rsidRPr="00000000">
        <w:rPr>
          <w:rtl w:val="0"/>
        </w:rPr>
        <w:t xml:space="preserve">Eastman Kodak Company: Portions of color management and imaging software</w:t>
      </w:r>
    </w:p>
    <w:p w:rsidR="00000000" w:rsidDel="00000000" w:rsidP="00000000" w:rsidRDefault="00000000" w:rsidRPr="00000000" w14:paraId="00000002">
      <w:pPr>
        <w:pStyle w:val="Heading3"/>
        <w:rPr/>
      </w:pPr>
      <w:bookmarkStart w:colFirst="0" w:colLast="0" w:name="_j6rlxfqzugr2" w:id="1"/>
      <w:bookmarkEnd w:id="1"/>
      <w:r w:rsidDel="00000000" w:rsidR="00000000" w:rsidRPr="00000000">
        <w:rPr>
          <w:rtl w:val="0"/>
        </w:rPr>
        <w:t xml:space="preserve">Eastman Kodak Notice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Portions Copyright Eastman Kodak Company 1991-2003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