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Java(TM) Cryptography Extension Policy Files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the Java(TM) Platform, Standard Edition Runtime Environment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README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and export control rules on cryptographic software vary from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country to country.  The Java Cryptography Extension (JCE) architecture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allows flexible cryptographic key strength to be configured via the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jurisdiction policy files which are referenced by the "crypto.policy"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security property in the &lt;java-home&gt;/conf/security/java.security file.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default, Java provides two different sets of cryptographic policy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unlimited:  These policy files contain no restrictions on cryptographic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strengths or algorithms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limited:    These policy files contain more restricted cryptographic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strengths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files reside in &lt;java-home&gt;/conf/security/policy in the "unlimited"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"limited" subdirectories respectively.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subdirectory contains a complete policy configuration,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subdirectories can be added/edited/removed to reflect your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or export control product requirements.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a subdirectory, the effective policy is the combined minimum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permissions of the grant statements in the file(s) matching the filename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pattern "default_*.policy".  At least one grant is required.  For example: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limited   =  Export (all) + Import (limited)  =  Limited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unlimited =  Export (all) + Import (all)      =  Unlimited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effective exemption policy is the combined minimum permissions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grant statements in the file(s) matching the filename pattern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"exempt_*.policy".  Exemption grants are optional.  For example: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limited   =  grants exemption permissions, by which the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effective policy can be circumvented.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e.g.  KeyRecovery/KeyEscrow/KeyWeakening.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see the Java Cryptography Architecture (JCA) documentation for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information on these files and formats.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ADVISED TO CONSULT YOUR EXPORT/IMPORT CONTROL COUNSEL OR ATTORNEY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DETERMINE THE EXACT REQUIREMENTS.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the JCE for Java SE, including the JCE framework,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cryptographic policy files, and standard JCE providers provided with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Java SE, have been reviewed and approved for export as mass market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encryption item by the US Bureau of Industry and Security.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